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4B6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4DC3C4A1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717FD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eastAsia="方正小标宋简体"/>
          <w:sz w:val="44"/>
          <w:szCs w:val="44"/>
          <w:highlight w:val="none"/>
        </w:rPr>
        <w:t>第八届中华经典诵写讲大赛</w:t>
      </w:r>
    </w:p>
    <w:p w14:paraId="01595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eastAsia="方正小标宋简体"/>
          <w:sz w:val="44"/>
          <w:szCs w:val="44"/>
          <w:highlight w:val="none"/>
        </w:rPr>
        <w:t>“笔墨中国”书写大赛</w:t>
      </w:r>
      <w:r>
        <w:rPr>
          <w:rFonts w:hint="eastAsia" w:ascii="Times New Roman" w:eastAsia="方正小标宋简体"/>
          <w:sz w:val="44"/>
          <w:szCs w:val="44"/>
          <w:highlight w:val="none"/>
          <w:lang w:eastAsia="zh-CN"/>
        </w:rPr>
        <w:t>甘肃赛区</w:t>
      </w:r>
      <w:r>
        <w:rPr>
          <w:rFonts w:hint="eastAsia" w:ascii="Times New Roman" w:eastAsia="方正小标宋简体"/>
          <w:sz w:val="44"/>
          <w:szCs w:val="44"/>
          <w:highlight w:val="none"/>
        </w:rPr>
        <w:t>方案</w:t>
      </w:r>
    </w:p>
    <w:bookmarkEnd w:id="1"/>
    <w:p w14:paraId="1B3E4A6A"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</w:p>
    <w:p w14:paraId="2B0D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第八届中华经典诵写讲大赛“笔墨中国”书写大赛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甘肃赛区比赛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（以下简称书写大赛）由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天水师范大学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，甘肃省书法家协会协办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。方案如下。</w:t>
      </w:r>
    </w:p>
    <w:p w14:paraId="16D2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一、参赛对象与组别</w:t>
      </w:r>
    </w:p>
    <w:p w14:paraId="566F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参赛对象为大中小学校在校学生、在职教师、社会人员。</w:t>
      </w:r>
    </w:p>
    <w:p w14:paraId="5CDF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（一）书法作品类</w:t>
      </w:r>
    </w:p>
    <w:p w14:paraId="5CE7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设硬笔、毛笔和粉笔三个类别。其中硬笔、毛笔每个类别分为小学生组、中学生组（含中职学生）、大学生组（含高职学生、研究生、留学生）、教师组（含幼儿园在职教师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在站博士后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）、社会人员组；粉笔类别分为教师组（含幼儿园在职教师、在站博士后）、师范院校学生组（含中职师范院校学生），共1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个组别。</w:t>
      </w:r>
    </w:p>
    <w:p w14:paraId="15FE0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（二）书法文创类</w:t>
      </w:r>
    </w:p>
    <w:p w14:paraId="3FA5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设硬笔、毛笔两个类别。每个类别分青少年组（18岁以下）、成人组（18岁及以上），共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个组别。</w:t>
      </w:r>
    </w:p>
    <w:p w14:paraId="1768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二、参赛要求</w:t>
      </w:r>
    </w:p>
    <w:p w14:paraId="5027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（一）作品内容</w:t>
      </w:r>
    </w:p>
    <w:p w14:paraId="6759B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体现中华优秀文化、爱国情怀以及反映积极向上时代精神的古今诗文、楹联、词语、名言警句，或中华优秀图书的内容节选等。当代内容以正式出版或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省级以上广播电视等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主流媒体公开发表，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出版、发表时间2年以上，并被广泛传播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内容主题须相对完整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改编、自创以及网络文本等不在征集之列。</w:t>
      </w:r>
    </w:p>
    <w:p w14:paraId="20EA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硬笔类、粉笔类作品须使用规范汉字（以《通用规范汉字表》为依据），字体要求使用楷书或行书，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楷书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书写笔画形态和离合关系正确，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行书作品不能随意改变笔画形态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夹带草书；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毛笔类作品鼓励使用规范汉字，因艺术表达需要可使用繁体字及经典碑帖中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见的写法，字体不限（篆书、草书须附释文），但须通篇统一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不可提交临摹作品。</w:t>
      </w:r>
    </w:p>
    <w:p w14:paraId="4DC7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（二）作品要求</w:t>
      </w:r>
    </w:p>
    <w:p w14:paraId="3DF1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1.书法作品类</w:t>
      </w:r>
    </w:p>
    <w:p w14:paraId="5825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硬笔类作品可使用铅笔（仅限小学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一、二年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级学生）、中性笔、钢笔、秀丽笔。硬笔类作品用纸规格A3纸（29.7cm×42cm）以内。</w:t>
      </w:r>
    </w:p>
    <w:p w14:paraId="4AB8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毛笔类作品用纸规格为：小学生组用纸为四尺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整张宣纸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cm×69cm）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，其他组别为六尺整张宣纸（95cm×180cm）以内，一律为竖式，不得托裱。手卷、册页等形式不在参赛范围之内。</w:t>
      </w:r>
    </w:p>
    <w:p w14:paraId="321E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粉笔类作品一律使用白色粉笔，横排横写。</w:t>
      </w:r>
    </w:p>
    <w:p w14:paraId="5868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2.书法文创</w:t>
      </w:r>
      <w:bookmarkStart w:id="0" w:name="_Hlk225807173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类</w:t>
      </w:r>
    </w:p>
    <w:p w14:paraId="6A825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可使用硬笔书法或毛笔书法为主要表现形式。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作品材质可选用甲骨、金属、石、玉、陶、竹、木、帛、布、纸等，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作品呈现载体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贺卡、成扇、板报、挂历、台历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书签、藏书票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等多种形式。每件作品限采用一种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载体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形式，保证作品的整体性和完整性。</w:t>
      </w:r>
    </w:p>
    <w:bookmarkEnd w:id="0"/>
    <w:p w14:paraId="19A7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（三）提交要求</w:t>
      </w:r>
    </w:p>
    <w:p w14:paraId="6142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参赛作品应为2026年新创作的作品，由参赛者独立完成。参赛人员需同时提交参赛作品图片与书写视频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图片和视频要求如下：</w:t>
      </w:r>
    </w:p>
    <w:p w14:paraId="31A7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1.参赛作品图片要求</w:t>
      </w:r>
    </w:p>
    <w:p w14:paraId="4440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硬笔类作品上传分辨率为300DPI以上的扫描图片；毛笔类、粉笔类作品上传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高清照片，格式为JPG或JPEG，大小为2—10MB，要求能体现作品整体效果与细节特点。书法文创序列作品需同时提交创作思路（800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以内）。</w:t>
      </w:r>
    </w:p>
    <w:p w14:paraId="1517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书写视频要求</w:t>
      </w:r>
    </w:p>
    <w:p w14:paraId="55B3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为体现作品为参赛者本人创作，请录制书写视频。要求横屏录制；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书写开始前，参赛者手持带本人照片的证件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完整呈现上半身，持证展示时长不少于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接着录制书写过程，仅需书写参赛作品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起始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2分钟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无需写完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达2分钟后，参赛者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手持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书写的部分作品内容，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镜头展示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视频全程连续无中断、无剪辑、非镜像，画面清晰；格式为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MP4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300MB以内。</w:t>
      </w:r>
    </w:p>
    <w:p w14:paraId="0EE1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（四）其他要求</w:t>
      </w:r>
    </w:p>
    <w:p w14:paraId="13E2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参赛者应使用规范汉字准确填写姓名、作品名称、所在单位或学校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等信息。毛笔类作品填写书体信息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77D17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每人限报1件作品，限报1名指导教师。同一作品的参赛者不得同时署名该作品的指导教师。</w:t>
      </w:r>
    </w:p>
    <w:p w14:paraId="1FFE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书写大赛粉笔组，限教师和师范院校学生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。非师范院校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师范专业学生不能参加粉笔组。</w:t>
      </w:r>
    </w:p>
    <w:p w14:paraId="140B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三、赛程安排</w:t>
      </w:r>
    </w:p>
    <w:p w14:paraId="54E0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遴选推荐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前</w:t>
      </w:r>
    </w:p>
    <w:p w14:paraId="49156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所有参赛者均须在大赛官网参加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语言文字知识及书法常识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每人可进行多次测评，系统取最高分为最终成绩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（不计入复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赛），60分及以上测评合格者方可参赛。</w:t>
      </w:r>
    </w:p>
    <w:p w14:paraId="0FF1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各市（州）教育局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高等学校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厅直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属单位及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自行组织本地本校的作品选拔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。每组推荐不超过本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地本校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该组参赛作品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0%。</w:t>
      </w:r>
    </w:p>
    <w:p w14:paraId="3BA7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比赛不接收个人报送作品，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各市（州）教育局、高等学校、厅直属单位及学校，务必于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日前将《第八届中华经典诵写讲大赛作品汇总表》电子版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及加盖公章扫描版（PDF格式）发送至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组织参赛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省赛平台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提交参赛作品图片与书写视频，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日24:00。</w:t>
      </w:r>
    </w:p>
    <w:p w14:paraId="3ABC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省级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初赛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</w:t>
      </w:r>
    </w:p>
    <w:p w14:paraId="5F762F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赛区分赛项执委会组织专家对参赛作品进行评审，提出省赛拟获奖名单。</w:t>
      </w:r>
    </w:p>
    <w:p w14:paraId="5925261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（三）省级复赛：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</w:t>
      </w:r>
    </w:p>
    <w:p w14:paraId="5896D8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赛区分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赛项执委会对拟获奖名单进行复审，确定获奖等次，选拔推荐入围全国决赛的作品，邀请部分参赛作品参加线下现场比赛及展示。</w:t>
      </w:r>
    </w:p>
    <w:p w14:paraId="1261F9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推荐入围全国决赛的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参赛者使用赛区比赛时登记的手机号登录大赛官网填写基本信息、上传作品电子图片。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赛项管理员使用官网账号对推荐作品进行确认，时间截至8月31日24:00。</w:t>
      </w:r>
    </w:p>
    <w:p w14:paraId="084B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决赛的硬笔类、毛笔类作品须于8月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书法作品类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纸质作品（粉笔类作品将作品照片用不超过A3纸彩色打印）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书法文创类作品实物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寄送到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</w:rPr>
        <w:t>指定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邮寄地址，由赛区分赛项执委会统一寄往全国决赛承办单位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5A5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全国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决赛：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2026年9月30日前</w:t>
      </w:r>
    </w:p>
    <w:p w14:paraId="640F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分赛项执委会组织专家对纸质作品进行评审，确定获奖作品及等次。入围决赛的硬笔类、粉笔类作品，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分赛项执委会按成绩排名并邀请部分参赛作品参加线下现场比赛，角逐一等奖。</w:t>
      </w:r>
    </w:p>
    <w:p w14:paraId="6ACC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）成果展示：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2026年10月至12月</w:t>
      </w:r>
    </w:p>
    <w:p w14:paraId="42D6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举办获奖作品、书写视频展示活动。</w:t>
      </w:r>
    </w:p>
    <w:p w14:paraId="585DEF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5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spacing w:val="4"/>
          <w:sz w:val="32"/>
          <w:szCs w:val="32"/>
          <w:highlight w:val="none"/>
          <w:lang w:eastAsia="zh-CN"/>
        </w:rPr>
        <w:t>联系方式</w:t>
      </w:r>
    </w:p>
    <w:p w14:paraId="0364B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人：吴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琼</w:t>
      </w:r>
    </w:p>
    <w:p w14:paraId="6FFFF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联系电话：0938-8361350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18888590237</w:t>
      </w:r>
    </w:p>
    <w:p w14:paraId="5A38AF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电子邮箱：2457853966@qq.com</w:t>
      </w:r>
    </w:p>
    <w:p w14:paraId="28690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邮寄地址：甘肃省天水市秦州区藉河南路60号天水师范大学行政楼205室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4A23"/>
    <w:rsid w:val="7B9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character" w:customStyle="1" w:styleId="5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2026-06-02T03:17:00Z</dcterms:created>
  <dc:creator>梦心魂</dc:creator>
  <cp:lastModifiedBy>梦心魂</cp:lastModifiedBy>
  <dcterms:modified xsi:type="dcterms:W3CDTF">2026-06-02T03:18:27Z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02357A30FD5E441BA6E17F9A050C3FA0_11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