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50F90">
      <w:pPr>
        <w:adjustRightInd w:val="0"/>
        <w:snapToGrid w:val="0"/>
        <w:spacing w:line="560" w:lineRule="exact"/>
        <w:rPr>
          <w:rFonts w:hint="eastAsia" w:ascii="黑体" w:hAnsi="黑体" w:eastAsia="黑体" w:cs="黑体"/>
          <w:sz w:val="32"/>
          <w:szCs w:val="32"/>
          <w:highlight w:val="none"/>
        </w:rPr>
      </w:pPr>
      <w:bookmarkStart w:id="3" w:name="_GoBack"/>
      <w:r>
        <w:rPr>
          <w:rFonts w:hint="eastAsia" w:ascii="黑体" w:hAnsi="黑体" w:eastAsia="黑体" w:cs="黑体"/>
          <w:sz w:val="32"/>
          <w:szCs w:val="32"/>
          <w:highlight w:val="none"/>
        </w:rPr>
        <w:t>附件2</w:t>
      </w:r>
    </w:p>
    <w:p w14:paraId="422DDDF7">
      <w:pPr>
        <w:adjustRightInd w:val="0"/>
        <w:snapToGrid w:val="0"/>
        <w:spacing w:line="560" w:lineRule="exact"/>
        <w:jc w:val="center"/>
        <w:rPr>
          <w:rFonts w:ascii="Times New Roman" w:eastAsia="方正小标宋简体"/>
          <w:sz w:val="44"/>
          <w:szCs w:val="44"/>
          <w:highlight w:val="none"/>
        </w:rPr>
      </w:pPr>
    </w:p>
    <w:p w14:paraId="403FA0FC">
      <w:pPr>
        <w:adjustRightInd w:val="0"/>
        <w:snapToGrid w:val="0"/>
        <w:spacing w:line="560" w:lineRule="exact"/>
        <w:jc w:val="center"/>
        <w:rPr>
          <w:rFonts w:eastAsia="方正小标宋简体" w:cs="方正小标宋简体"/>
          <w:sz w:val="44"/>
          <w:szCs w:val="44"/>
          <w:highlight w:val="none"/>
        </w:rPr>
      </w:pPr>
      <w:r>
        <w:rPr>
          <w:rFonts w:hint="eastAsia" w:ascii="Times New Roman" w:eastAsia="方正小标宋简体"/>
          <w:sz w:val="44"/>
          <w:szCs w:val="44"/>
          <w:highlight w:val="none"/>
        </w:rPr>
        <w:t>第八届中华经典诵写讲大赛</w:t>
      </w:r>
    </w:p>
    <w:p w14:paraId="182DD1AA">
      <w:pPr>
        <w:adjustRightInd w:val="0"/>
        <w:snapToGrid w:val="0"/>
        <w:spacing w:line="560" w:lineRule="exact"/>
        <w:jc w:val="center"/>
        <w:rPr>
          <w:rFonts w:eastAsia="方正小标宋简体" w:cs="方正小标宋简体"/>
          <w:sz w:val="44"/>
          <w:szCs w:val="44"/>
          <w:highlight w:val="none"/>
        </w:rPr>
      </w:pPr>
      <w:r>
        <w:rPr>
          <w:rFonts w:hint="eastAsia" w:ascii="Times New Roman" w:eastAsia="方正小标宋简体"/>
          <w:sz w:val="44"/>
          <w:szCs w:val="44"/>
          <w:highlight w:val="none"/>
        </w:rPr>
        <w:t>“诗教中国”讲解大赛</w:t>
      </w:r>
      <w:r>
        <w:rPr>
          <w:rFonts w:hint="eastAsia" w:ascii="Times New Roman" w:eastAsia="方正小标宋简体"/>
          <w:sz w:val="44"/>
          <w:szCs w:val="44"/>
          <w:highlight w:val="none"/>
          <w:lang w:eastAsia="zh-CN"/>
        </w:rPr>
        <w:t>甘肃赛区</w:t>
      </w:r>
      <w:r>
        <w:rPr>
          <w:rFonts w:hint="eastAsia" w:ascii="Times New Roman" w:eastAsia="方正小标宋简体"/>
          <w:sz w:val="44"/>
          <w:szCs w:val="44"/>
          <w:highlight w:val="none"/>
        </w:rPr>
        <w:t>方案</w:t>
      </w:r>
    </w:p>
    <w:bookmarkEnd w:id="3"/>
    <w:p w14:paraId="0ADA1513">
      <w:pPr>
        <w:pStyle w:val="3"/>
        <w:adjustRightInd w:val="0"/>
        <w:snapToGrid w:val="0"/>
        <w:spacing w:before="0" w:beforeAutospacing="0" w:after="0" w:afterAutospacing="0" w:line="560" w:lineRule="exact"/>
        <w:ind w:firstLine="600" w:firstLineChars="200"/>
        <w:rPr>
          <w:rFonts w:hint="eastAsia" w:ascii="Times New Roman" w:hAnsi="Times New Roman" w:eastAsia="仿宋_GB2312" w:cs="仿宋_GB2312"/>
          <w:sz w:val="30"/>
          <w:szCs w:val="30"/>
          <w:highlight w:val="none"/>
        </w:rPr>
      </w:pPr>
    </w:p>
    <w:p w14:paraId="4552557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bookmarkStart w:id="0" w:name="OLE_LINK1"/>
      <w:r>
        <w:rPr>
          <w:rFonts w:hint="eastAsia" w:ascii="仿宋_GB2312" w:hAnsi="仿宋_GB2312" w:eastAsia="仿宋_GB2312" w:cs="仿宋_GB2312"/>
          <w:sz w:val="32"/>
          <w:szCs w:val="32"/>
          <w:highlight w:val="none"/>
        </w:rPr>
        <w:t>第八届中华经典诵写讲大赛“诗教中国”讲解大赛</w:t>
      </w:r>
      <w:r>
        <w:rPr>
          <w:rFonts w:hint="eastAsia" w:ascii="仿宋_GB2312" w:hAnsi="仿宋_GB2312" w:eastAsia="仿宋_GB2312" w:cs="仿宋_GB2312"/>
          <w:sz w:val="32"/>
          <w:szCs w:val="32"/>
          <w:highlight w:val="none"/>
          <w:lang w:eastAsia="zh-CN"/>
        </w:rPr>
        <w:t>甘肃赛区比赛</w:t>
      </w:r>
      <w:r>
        <w:rPr>
          <w:rFonts w:hint="eastAsia" w:ascii="仿宋_GB2312" w:hAnsi="仿宋_GB2312" w:eastAsia="仿宋_GB2312" w:cs="仿宋_GB2312"/>
          <w:sz w:val="32"/>
          <w:szCs w:val="32"/>
          <w:highlight w:val="none"/>
        </w:rPr>
        <w:t>（以下简称讲解大赛）由</w:t>
      </w:r>
      <w:bookmarkEnd w:id="0"/>
      <w:r>
        <w:rPr>
          <w:rFonts w:hint="eastAsia" w:ascii="仿宋_GB2312" w:hAnsi="仿宋_GB2312" w:eastAsia="仿宋_GB2312" w:cs="仿宋_GB2312"/>
          <w:sz w:val="32"/>
          <w:szCs w:val="32"/>
          <w:highlight w:val="none"/>
          <w:lang w:eastAsia="zh-CN"/>
        </w:rPr>
        <w:t>西北师范大学国家级语言文字推广基地</w:t>
      </w:r>
      <w:r>
        <w:rPr>
          <w:rFonts w:hint="eastAsia" w:ascii="仿宋_GB2312" w:hAnsi="仿宋_GB2312" w:eastAsia="仿宋_GB2312" w:cs="仿宋_GB2312"/>
          <w:sz w:val="32"/>
          <w:szCs w:val="32"/>
          <w:highlight w:val="none"/>
        </w:rPr>
        <w:t>承办</w:t>
      </w:r>
      <w:r>
        <w:rPr>
          <w:rFonts w:hint="eastAsia" w:ascii="仿宋_GB2312" w:hAnsi="仿宋_GB2312" w:eastAsia="仿宋_GB2312" w:cs="仿宋_GB2312"/>
          <w:sz w:val="32"/>
          <w:szCs w:val="32"/>
          <w:highlight w:val="none"/>
          <w:lang w:eastAsia="zh-CN"/>
        </w:rPr>
        <w:t>，省诗词学会协办</w:t>
      </w:r>
      <w:r>
        <w:rPr>
          <w:rFonts w:hint="eastAsia" w:ascii="仿宋_GB2312" w:hAnsi="仿宋_GB2312" w:eastAsia="仿宋_GB2312" w:cs="仿宋_GB2312"/>
          <w:sz w:val="32"/>
          <w:szCs w:val="32"/>
          <w:highlight w:val="none"/>
        </w:rPr>
        <w:t>。方案如下。</w:t>
      </w:r>
    </w:p>
    <w:p w14:paraId="17BE5800">
      <w:pPr>
        <w:keepNext w:val="0"/>
        <w:keepLines w:val="0"/>
        <w:pageBreakBefore w:val="0"/>
        <w:widowControl w:val="0"/>
        <w:kinsoku/>
        <w:wordWrap/>
        <w:overflowPunct/>
        <w:topLinePunct w:val="0"/>
        <w:autoSpaceDE/>
        <w:autoSpaceDN/>
        <w:bidi w:val="0"/>
        <w:adjustRightInd w:val="0"/>
        <w:snapToGrid w:val="0"/>
        <w:spacing w:line="576" w:lineRule="exact"/>
        <w:ind w:firstLine="656" w:firstLineChars="200"/>
        <w:jc w:val="both"/>
        <w:textAlignment w:val="auto"/>
        <w:rPr>
          <w:rFonts w:hint="eastAsia" w:ascii="黑体" w:hAnsi="黑体" w:eastAsia="黑体" w:cs="黑体"/>
          <w:sz w:val="32"/>
          <w:szCs w:val="32"/>
          <w:highlight w:val="none"/>
        </w:rPr>
      </w:pPr>
      <w:r>
        <w:rPr>
          <w:rFonts w:hint="eastAsia" w:ascii="黑体" w:hAnsi="黑体" w:eastAsia="黑体" w:cs="黑体"/>
          <w:spacing w:val="4"/>
          <w:sz w:val="32"/>
          <w:szCs w:val="32"/>
          <w:highlight w:val="none"/>
        </w:rPr>
        <w:t>一、参赛对象与组别</w:t>
      </w:r>
    </w:p>
    <w:p w14:paraId="097950E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参赛对象为大中小学校在校学生、在职教师、社会人员。</w:t>
      </w:r>
    </w:p>
    <w:p w14:paraId="013EB91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设讲解、演讲两个类别。每类分为小学教师组、中学教师组（含中职教师）、大学教师组（含高职教师、在站博士后）、小学生组、中学生组、</w:t>
      </w:r>
      <w:r>
        <w:rPr>
          <w:rFonts w:hint="eastAsia" w:ascii="仿宋_GB2312" w:hAnsi="仿宋_GB2312" w:eastAsia="仿宋_GB2312" w:cs="仿宋_GB2312"/>
          <w:color w:val="auto"/>
          <w:sz w:val="32"/>
          <w:szCs w:val="32"/>
          <w:highlight w:val="none"/>
        </w:rPr>
        <w:t>职业</w:t>
      </w:r>
      <w:r>
        <w:rPr>
          <w:rFonts w:hint="eastAsia" w:ascii="仿宋_GB2312" w:hAnsi="仿宋_GB2312" w:eastAsia="仿宋_GB2312" w:cs="仿宋_GB2312"/>
          <w:color w:val="auto"/>
          <w:sz w:val="32"/>
          <w:szCs w:val="32"/>
          <w:highlight w:val="none"/>
          <w:lang w:val="en-US" w:eastAsia="zh-CN"/>
        </w:rPr>
        <w:t>学</w:t>
      </w:r>
      <w:r>
        <w:rPr>
          <w:rFonts w:hint="eastAsia" w:ascii="仿宋_GB2312" w:hAnsi="仿宋_GB2312" w:eastAsia="仿宋_GB2312" w:cs="仿宋_GB2312"/>
          <w:color w:val="auto"/>
          <w:sz w:val="32"/>
          <w:szCs w:val="32"/>
          <w:highlight w:val="none"/>
        </w:rPr>
        <w:t>校学生组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含中职、高职学生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大学生组（</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rPr>
        <w:t>研究生）、留学生组（在华外国留学生）、社会人员组，共</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个组别。</w:t>
      </w:r>
    </w:p>
    <w:p w14:paraId="5395E308">
      <w:pPr>
        <w:keepNext w:val="0"/>
        <w:keepLines w:val="0"/>
        <w:pageBreakBefore w:val="0"/>
        <w:widowControl w:val="0"/>
        <w:kinsoku/>
        <w:wordWrap/>
        <w:overflowPunct/>
        <w:topLinePunct w:val="0"/>
        <w:autoSpaceDE/>
        <w:autoSpaceDN/>
        <w:bidi w:val="0"/>
        <w:adjustRightInd w:val="0"/>
        <w:snapToGrid w:val="0"/>
        <w:spacing w:line="576" w:lineRule="exact"/>
        <w:ind w:firstLine="656" w:firstLineChars="200"/>
        <w:jc w:val="both"/>
        <w:textAlignment w:val="auto"/>
        <w:rPr>
          <w:rFonts w:hint="eastAsia" w:ascii="黑体" w:hAnsi="黑体" w:eastAsia="黑体" w:cs="黑体"/>
          <w:spacing w:val="4"/>
          <w:sz w:val="32"/>
          <w:szCs w:val="32"/>
          <w:highlight w:val="none"/>
        </w:rPr>
      </w:pPr>
      <w:r>
        <w:rPr>
          <w:rFonts w:hint="eastAsia" w:ascii="黑体" w:hAnsi="黑体" w:eastAsia="黑体" w:cs="黑体"/>
          <w:spacing w:val="4"/>
          <w:sz w:val="32"/>
          <w:szCs w:val="32"/>
          <w:highlight w:val="none"/>
        </w:rPr>
        <w:t>二、参赛要求</w:t>
      </w:r>
    </w:p>
    <w:p w14:paraId="2646FF74">
      <w:pPr>
        <w:keepNext w:val="0"/>
        <w:keepLines w:val="0"/>
        <w:pageBreakBefore w:val="0"/>
        <w:widowControl w:val="0"/>
        <w:kinsoku/>
        <w:wordWrap/>
        <w:overflowPunct/>
        <w:topLinePunct w:val="0"/>
        <w:autoSpaceDE/>
        <w:autoSpaceDN/>
        <w:bidi w:val="0"/>
        <w:adjustRightInd w:val="0"/>
        <w:snapToGrid w:val="0"/>
        <w:spacing w:line="576" w:lineRule="exact"/>
        <w:ind w:firstLine="652" w:firstLineChars="200"/>
        <w:jc w:val="both"/>
        <w:textAlignment w:val="auto"/>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spacing w:val="3"/>
          <w:sz w:val="32"/>
          <w:szCs w:val="32"/>
          <w:highlight w:val="none"/>
        </w:rPr>
        <w:t>（一）内容要求</w:t>
      </w:r>
    </w:p>
    <w:p w14:paraId="14C50558">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_GB2312" w:hAnsi="仿宋_GB2312" w:eastAsia="仿宋_GB2312" w:cs="仿宋_GB2312"/>
          <w:sz w:val="32"/>
          <w:szCs w:val="32"/>
          <w:highlight w:val="none"/>
          <w:shd w:val="pct10" w:color="auto" w:fill="FFFFFF"/>
        </w:rPr>
      </w:pPr>
      <w:r>
        <w:rPr>
          <w:rFonts w:hint="eastAsia" w:ascii="仿宋_GB2312" w:hAnsi="仿宋_GB2312" w:eastAsia="仿宋_GB2312" w:cs="仿宋_GB2312"/>
          <w:b/>
          <w:bCs/>
          <w:sz w:val="32"/>
          <w:szCs w:val="32"/>
          <w:highlight w:val="none"/>
        </w:rPr>
        <w:t>1.讲解类</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讲解须使用国家通用语言文字，内容应选自中小学（含中职）统编语文教材、普通高等教育国家级规划教材及高等职业教育国家规划教材大学语文教材中的</w:t>
      </w:r>
      <w:r>
        <w:rPr>
          <w:rFonts w:hint="eastAsia" w:ascii="仿宋_GB2312" w:hAnsi="仿宋_GB2312" w:eastAsia="仿宋_GB2312" w:cs="仿宋_GB2312"/>
          <w:sz w:val="32"/>
          <w:szCs w:val="32"/>
          <w:highlight w:val="none"/>
          <w:lang w:val="en-US" w:eastAsia="zh-CN"/>
        </w:rPr>
        <w:t>规范汉字、成语或</w:t>
      </w:r>
      <w:r>
        <w:rPr>
          <w:rFonts w:hint="eastAsia" w:ascii="仿宋_GB2312" w:hAnsi="仿宋_GB2312" w:eastAsia="仿宋_GB2312" w:cs="仿宋_GB2312"/>
          <w:sz w:val="32"/>
          <w:szCs w:val="32"/>
          <w:highlight w:val="none"/>
        </w:rPr>
        <w:t>经典诗词作品</w:t>
      </w:r>
      <w:bookmarkStart w:id="1" w:name="OLE_LINK3"/>
      <w:r>
        <w:rPr>
          <w:rFonts w:hint="eastAsia" w:ascii="仿宋_GB2312" w:hAnsi="仿宋_GB2312" w:eastAsia="仿宋_GB2312" w:cs="仿宋_GB2312"/>
          <w:sz w:val="32"/>
          <w:szCs w:val="32"/>
          <w:highlight w:val="none"/>
        </w:rPr>
        <w:t>。</w:t>
      </w:r>
      <w:bookmarkEnd w:id="1"/>
    </w:p>
    <w:p w14:paraId="3B7009A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参赛教师按照课堂教学相关要求，遵循</w:t>
      </w:r>
      <w:r>
        <w:rPr>
          <w:rFonts w:hint="eastAsia" w:ascii="仿宋_GB2312" w:hAnsi="仿宋_GB2312" w:eastAsia="仿宋_GB2312" w:cs="仿宋_GB2312"/>
          <w:sz w:val="32"/>
          <w:szCs w:val="32"/>
          <w:highlight w:val="none"/>
          <w:lang w:val="en-US" w:eastAsia="zh-CN"/>
        </w:rPr>
        <w:t>语言文化</w:t>
      </w:r>
      <w:r>
        <w:rPr>
          <w:rFonts w:hint="eastAsia" w:ascii="仿宋_GB2312" w:hAnsi="仿宋_GB2312" w:eastAsia="仿宋_GB2312" w:cs="仿宋_GB2312"/>
          <w:sz w:val="32"/>
          <w:szCs w:val="32"/>
          <w:highlight w:val="none"/>
        </w:rPr>
        <w:t>教育基本规律和学术规范，录制以</w:t>
      </w:r>
      <w:r>
        <w:rPr>
          <w:rFonts w:hint="eastAsia" w:ascii="仿宋_GB2312" w:hAnsi="仿宋_GB2312" w:eastAsia="仿宋_GB2312" w:cs="仿宋_GB2312"/>
          <w:sz w:val="32"/>
          <w:szCs w:val="32"/>
          <w:highlight w:val="none"/>
          <w:lang w:val="en-US" w:eastAsia="zh-CN"/>
        </w:rPr>
        <w:t>汉字、成语、</w:t>
      </w:r>
      <w:r>
        <w:rPr>
          <w:rFonts w:hint="eastAsia" w:ascii="仿宋_GB2312" w:hAnsi="仿宋_GB2312" w:eastAsia="仿宋_GB2312" w:cs="仿宋_GB2312"/>
          <w:sz w:val="32"/>
          <w:szCs w:val="32"/>
          <w:highlight w:val="none"/>
        </w:rPr>
        <w:t>诗词教学为主要内容的微课视频。</w:t>
      </w:r>
    </w:p>
    <w:p w14:paraId="465A2D5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参赛学生和社会人员应以喜闻乐见的形式阐释</w:t>
      </w:r>
      <w:r>
        <w:rPr>
          <w:rFonts w:hint="eastAsia" w:ascii="仿宋_GB2312" w:hAnsi="仿宋_GB2312" w:eastAsia="仿宋_GB2312" w:cs="仿宋_GB2312"/>
          <w:sz w:val="32"/>
          <w:szCs w:val="32"/>
          <w:highlight w:val="none"/>
          <w:lang w:val="en-US" w:eastAsia="zh-CN"/>
        </w:rPr>
        <w:t>作品的</w:t>
      </w:r>
      <w:r>
        <w:rPr>
          <w:rFonts w:hint="eastAsia" w:ascii="仿宋_GB2312" w:hAnsi="仿宋_GB2312" w:eastAsia="仿宋_GB2312" w:cs="仿宋_GB2312"/>
          <w:sz w:val="32"/>
          <w:szCs w:val="32"/>
          <w:highlight w:val="none"/>
        </w:rPr>
        <w:t>意义与价值，鼓励结合地域文化、民族特色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各级非物质文化遗产代表性项目等</w:t>
      </w:r>
      <w:r>
        <w:rPr>
          <w:rFonts w:hint="eastAsia" w:ascii="仿宋_GB2312" w:hAnsi="仿宋_GB2312" w:eastAsia="仿宋_GB2312" w:cs="仿宋_GB2312"/>
          <w:sz w:val="32"/>
          <w:szCs w:val="32"/>
          <w:highlight w:val="none"/>
        </w:rPr>
        <w:t>创新</w:t>
      </w:r>
      <w:r>
        <w:rPr>
          <w:rFonts w:hint="eastAsia" w:ascii="仿宋_GB2312" w:hAnsi="仿宋_GB2312" w:eastAsia="仿宋_GB2312" w:cs="仿宋_GB2312"/>
          <w:sz w:val="32"/>
          <w:szCs w:val="32"/>
          <w:highlight w:val="none"/>
          <w:lang w:val="en-US" w:eastAsia="zh-CN"/>
        </w:rPr>
        <w:t>讲解</w:t>
      </w:r>
      <w:r>
        <w:rPr>
          <w:rFonts w:hint="eastAsia" w:ascii="仿宋_GB2312" w:hAnsi="仿宋_GB2312" w:eastAsia="仿宋_GB2312" w:cs="仿宋_GB2312"/>
          <w:sz w:val="32"/>
          <w:szCs w:val="32"/>
          <w:highlight w:val="none"/>
        </w:rPr>
        <w:t>内容。</w:t>
      </w:r>
    </w:p>
    <w:p w14:paraId="2DD41A66">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2.演讲类</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参赛者须围绕社会主义先进文化、革命文化和中华优秀传统文化中的经典篇章</w:t>
      </w:r>
      <w:r>
        <w:rPr>
          <w:rFonts w:hint="eastAsia" w:ascii="仿宋_GB2312" w:hAnsi="仿宋_GB2312" w:eastAsia="仿宋_GB2312" w:cs="仿宋_GB2312"/>
          <w:sz w:val="32"/>
          <w:szCs w:val="32"/>
          <w:highlight w:val="none"/>
          <w:lang w:val="en-US" w:eastAsia="zh-CN"/>
        </w:rPr>
        <w:t>以及各级非物质文化遗产代表性项目</w:t>
      </w:r>
      <w:r>
        <w:rPr>
          <w:rFonts w:hint="eastAsia" w:ascii="仿宋_GB2312" w:hAnsi="仿宋_GB2312" w:eastAsia="仿宋_GB2312" w:cs="仿宋_GB2312"/>
          <w:sz w:val="32"/>
          <w:szCs w:val="32"/>
          <w:highlight w:val="none"/>
        </w:rPr>
        <w:t>展开演讲。参赛者可自行选题，也可选择以下主题展开演讲：</w:t>
      </w:r>
    </w:p>
    <w:p w14:paraId="4045167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（1）经典中的智慧与力量。可通过经典在新时代的创造性运用，阐释其中蕴含的时代启示。</w:t>
      </w:r>
    </w:p>
    <w:p w14:paraId="49091E8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（2）经典中的成长与担当。可从经典文本出发，联系个人成长经历、学习生活、社会实践，讲述经典如何启迪思维、塑造品格、激励担当。</w:t>
      </w:r>
    </w:p>
    <w:p w14:paraId="6522F8B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（3）经典的学习与体会。可分享学习经典、运用经典的路径、方法与实践案例，阐发对经典的理解、传承与创新。</w:t>
      </w:r>
    </w:p>
    <w:p w14:paraId="547D1DC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（4）经典中的家国情怀。可挖掘经典中蕴含的家国情怀、道德修养、奋斗精神等，结合实际，展现经典“典”亮人生、“典”耀未来的生动故事。</w:t>
      </w:r>
    </w:p>
    <w:p w14:paraId="26F693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演讲须主题鲜明、观点正确、事例生动、感情真挚。演讲文本必须为参赛者原创，严禁抄袭、剽窃，引用经典比例不超过20%并注明出处。</w:t>
      </w:r>
    </w:p>
    <w:p w14:paraId="1C07C00C">
      <w:pPr>
        <w:keepNext w:val="0"/>
        <w:keepLines w:val="0"/>
        <w:pageBreakBefore w:val="0"/>
        <w:widowControl w:val="0"/>
        <w:kinsoku/>
        <w:wordWrap/>
        <w:overflowPunct/>
        <w:topLinePunct w:val="0"/>
        <w:autoSpaceDE/>
        <w:autoSpaceDN/>
        <w:bidi w:val="0"/>
        <w:adjustRightInd w:val="0"/>
        <w:snapToGrid w:val="0"/>
        <w:spacing w:line="576" w:lineRule="exact"/>
        <w:ind w:firstLine="652" w:firstLineChars="200"/>
        <w:jc w:val="both"/>
        <w:textAlignment w:val="auto"/>
        <w:outlineLvl w:val="2"/>
        <w:rPr>
          <w:rFonts w:hint="eastAsia" w:ascii="楷体_GB2312" w:hAnsi="楷体_GB2312" w:eastAsia="楷体_GB2312" w:cs="楷体_GB2312"/>
          <w:spacing w:val="3"/>
          <w:sz w:val="32"/>
          <w:szCs w:val="32"/>
          <w:highlight w:val="none"/>
        </w:rPr>
      </w:pPr>
      <w:r>
        <w:rPr>
          <w:rFonts w:hint="eastAsia" w:ascii="楷体_GB2312" w:hAnsi="楷体_GB2312" w:eastAsia="楷体_GB2312" w:cs="楷体_GB2312"/>
          <w:spacing w:val="3"/>
          <w:sz w:val="32"/>
          <w:szCs w:val="32"/>
          <w:highlight w:val="none"/>
        </w:rPr>
        <w:t>（二）形式要求</w:t>
      </w:r>
    </w:p>
    <w:p w14:paraId="157D783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使用</w:t>
      </w:r>
      <w:r>
        <w:rPr>
          <w:rFonts w:hint="eastAsia" w:ascii="仿宋_GB2312" w:hAnsi="仿宋_GB2312" w:eastAsia="仿宋_GB2312" w:cs="仿宋_GB2312"/>
          <w:sz w:val="32"/>
          <w:szCs w:val="32"/>
          <w:highlight w:val="none"/>
          <w:lang w:val="en-US" w:eastAsia="zh-CN"/>
        </w:rPr>
        <w:t>国家通用语言文字</w:t>
      </w:r>
      <w:r>
        <w:rPr>
          <w:rFonts w:hint="eastAsia" w:ascii="仿宋_GB2312" w:hAnsi="仿宋_GB2312" w:eastAsia="仿宋_GB2312" w:cs="仿宋_GB2312"/>
          <w:sz w:val="32"/>
          <w:szCs w:val="32"/>
          <w:highlight w:val="none"/>
        </w:rPr>
        <w:t>创作参赛作品，且为2026年新录制的视频，横屏拍摄，格式为MP4。教师组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社会人员组视频长度为8分钟以内，学生组视频长度为5分钟以内。视频清晰度不低于720P，大小不超过700MB，图像、声音清晰，不抖动、无噪声，参赛者须全程出镜。视频须一镜到底，不得剪辑、拼接，可适当配乐。</w:t>
      </w:r>
    </w:p>
    <w:p w14:paraId="7513C10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ascii="仿宋_GB2312" w:hAnsi="仿宋_GB2312" w:eastAsia="仿宋_GB2312" w:cs="仿宋_GB2312"/>
          <w:kern w:val="0"/>
          <w:sz w:val="32"/>
          <w:szCs w:val="32"/>
          <w:highlight w:val="none"/>
        </w:rPr>
        <w:t>应使用正确表示国家版图的地图，</w:t>
      </w:r>
      <w:r>
        <w:rPr>
          <w:rFonts w:hint="eastAsia" w:ascii="仿宋_GB2312" w:hAnsi="仿宋_GB2312" w:eastAsia="仿宋_GB2312" w:cs="仿宋_GB2312"/>
          <w:sz w:val="32"/>
          <w:szCs w:val="32"/>
          <w:highlight w:val="none"/>
        </w:rPr>
        <w:t>不得出现与大赛无关的条幅、角标等。</w:t>
      </w:r>
    </w:p>
    <w:p w14:paraId="2B96744B">
      <w:pPr>
        <w:keepNext w:val="0"/>
        <w:keepLines w:val="0"/>
        <w:pageBreakBefore w:val="0"/>
        <w:widowControl w:val="0"/>
        <w:kinsoku/>
        <w:wordWrap/>
        <w:overflowPunct/>
        <w:topLinePunct w:val="0"/>
        <w:autoSpaceDE/>
        <w:autoSpaceDN/>
        <w:bidi w:val="0"/>
        <w:adjustRightInd w:val="0"/>
        <w:snapToGrid w:val="0"/>
        <w:spacing w:line="576" w:lineRule="exact"/>
        <w:ind w:firstLine="652" w:firstLineChars="200"/>
        <w:jc w:val="both"/>
        <w:textAlignment w:val="auto"/>
        <w:outlineLvl w:val="2"/>
        <w:rPr>
          <w:rFonts w:hint="eastAsia" w:ascii="楷体_GB2312" w:hAnsi="楷体_GB2312" w:eastAsia="楷体_GB2312" w:cs="楷体_GB2312"/>
          <w:spacing w:val="3"/>
          <w:sz w:val="32"/>
          <w:szCs w:val="32"/>
          <w:highlight w:val="none"/>
        </w:rPr>
      </w:pPr>
      <w:r>
        <w:rPr>
          <w:rFonts w:hint="eastAsia" w:ascii="楷体_GB2312" w:hAnsi="楷体_GB2312" w:eastAsia="楷体_GB2312" w:cs="楷体_GB2312"/>
          <w:spacing w:val="3"/>
          <w:sz w:val="32"/>
          <w:szCs w:val="32"/>
          <w:highlight w:val="none"/>
        </w:rPr>
        <w:t>（三）提交要求</w:t>
      </w:r>
    </w:p>
    <w:p w14:paraId="1C08552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每人限报1件作品，限报1名指导教师。同一作品的参赛者不得同时署名该作品的指导教师。指导多个作品获</w:t>
      </w:r>
      <w:r>
        <w:rPr>
          <w:rFonts w:hint="eastAsia" w:ascii="仿宋_GB2312" w:hAnsi="仿宋_GB2312" w:eastAsia="仿宋_GB2312" w:cs="仿宋_GB2312"/>
          <w:sz w:val="32"/>
          <w:szCs w:val="32"/>
          <w:highlight w:val="none"/>
          <w:lang w:val="en-US" w:eastAsia="zh-CN"/>
        </w:rPr>
        <w:t>一等</w:t>
      </w:r>
      <w:r>
        <w:rPr>
          <w:rFonts w:hint="eastAsia" w:ascii="仿宋_GB2312" w:hAnsi="仿宋_GB2312" w:eastAsia="仿宋_GB2312" w:cs="仿宋_GB2312"/>
          <w:sz w:val="32"/>
          <w:szCs w:val="32"/>
          <w:highlight w:val="none"/>
        </w:rPr>
        <w:t>奖的指导教师不重复获得优秀指导教师奖。</w:t>
      </w:r>
    </w:p>
    <w:p w14:paraId="428F5F1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参赛者应使用规范汉字准确填写姓名、作品名称、所在单位或学校等信息。作品提交日期截止后，相关信息不得更改。</w:t>
      </w:r>
    </w:p>
    <w:p w14:paraId="37D3A5D8">
      <w:pPr>
        <w:keepNext w:val="0"/>
        <w:keepLines w:val="0"/>
        <w:pageBreakBefore w:val="0"/>
        <w:widowControl w:val="0"/>
        <w:kinsoku/>
        <w:wordWrap/>
        <w:overflowPunct/>
        <w:topLinePunct w:val="0"/>
        <w:autoSpaceDE/>
        <w:autoSpaceDN/>
        <w:bidi w:val="0"/>
        <w:adjustRightInd w:val="0"/>
        <w:snapToGrid w:val="0"/>
        <w:spacing w:line="576" w:lineRule="exact"/>
        <w:ind w:firstLine="656" w:firstLineChars="200"/>
        <w:jc w:val="both"/>
        <w:textAlignment w:val="auto"/>
        <w:rPr>
          <w:rFonts w:hint="eastAsia" w:ascii="黑体" w:hAnsi="黑体" w:eastAsia="黑体" w:cs="黑体"/>
          <w:spacing w:val="4"/>
          <w:sz w:val="32"/>
          <w:szCs w:val="32"/>
          <w:highlight w:val="none"/>
        </w:rPr>
      </w:pPr>
      <w:r>
        <w:rPr>
          <w:rFonts w:hint="eastAsia" w:ascii="黑体" w:hAnsi="黑体" w:eastAsia="黑体" w:cs="黑体"/>
          <w:spacing w:val="4"/>
          <w:sz w:val="32"/>
          <w:szCs w:val="32"/>
          <w:highlight w:val="none"/>
        </w:rPr>
        <w:t>三、赛程安排</w:t>
      </w:r>
    </w:p>
    <w:p w14:paraId="7ABB89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eastAsia="zh-CN"/>
        </w:rPr>
        <w:t>遴选推荐</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26日</w:t>
      </w:r>
      <w:r>
        <w:rPr>
          <w:rFonts w:hint="eastAsia" w:ascii="仿宋_GB2312" w:hAnsi="仿宋_GB2312" w:eastAsia="仿宋_GB2312" w:cs="仿宋_GB2312"/>
          <w:sz w:val="32"/>
          <w:szCs w:val="32"/>
          <w:highlight w:val="none"/>
          <w:lang w:eastAsia="zh-CN"/>
        </w:rPr>
        <w:t>前</w:t>
      </w:r>
    </w:p>
    <w:p w14:paraId="0222BA79">
      <w:pPr>
        <w:pStyle w:val="2"/>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所有参赛者均须在大赛官网参加</w:t>
      </w:r>
      <w:r>
        <w:rPr>
          <w:rFonts w:hint="eastAsia" w:ascii="仿宋_GB2312" w:hAnsi="仿宋_GB2312" w:eastAsia="仿宋_GB2312" w:cs="仿宋_GB2312"/>
          <w:spacing w:val="9"/>
          <w:sz w:val="32"/>
          <w:szCs w:val="32"/>
          <w:highlight w:val="none"/>
        </w:rPr>
        <w:t>语言文字知识及诗词常识</w:t>
      </w:r>
      <w:r>
        <w:rPr>
          <w:rFonts w:hint="eastAsia" w:ascii="仿宋_GB2312" w:hAnsi="仿宋_GB2312" w:eastAsia="仿宋_GB2312" w:cs="仿宋_GB2312"/>
          <w:spacing w:val="7"/>
          <w:sz w:val="32"/>
          <w:szCs w:val="32"/>
          <w:highlight w:val="none"/>
        </w:rPr>
        <w:t>测评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7"/>
          <w:sz w:val="32"/>
          <w:szCs w:val="32"/>
          <w:highlight w:val="none"/>
        </w:rPr>
        <w:t>每人可进行多次测评，系统取最高分为最终成绩</w:t>
      </w:r>
      <w:r>
        <w:rPr>
          <w:rFonts w:hint="eastAsia" w:ascii="仿宋_GB2312" w:hAnsi="仿宋_GB2312" w:eastAsia="仿宋_GB2312" w:cs="仿宋_GB2312"/>
          <w:spacing w:val="9"/>
          <w:sz w:val="32"/>
          <w:szCs w:val="32"/>
          <w:highlight w:val="none"/>
        </w:rPr>
        <w:t>（不计入复</w:t>
      </w:r>
      <w:r>
        <w:rPr>
          <w:rFonts w:hint="eastAsia" w:ascii="仿宋_GB2312" w:hAnsi="仿宋_GB2312" w:eastAsia="仿宋_GB2312" w:cs="仿宋_GB2312"/>
          <w:sz w:val="32"/>
          <w:szCs w:val="32"/>
          <w:highlight w:val="none"/>
        </w:rPr>
        <w:t>赛），60分及以上测评合格者方可参赛。</w:t>
      </w:r>
    </w:p>
    <w:p w14:paraId="509BC7A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各市（州）教育局、高等学校、厅直属单位及学校，结合实际组织本地本校的遴选推荐，</w:t>
      </w:r>
      <w:r>
        <w:rPr>
          <w:rFonts w:hint="eastAsia" w:ascii="仿宋_GB2312" w:hAnsi="仿宋_GB2312" w:eastAsia="仿宋_GB2312" w:cs="仿宋_GB2312"/>
          <w:sz w:val="32"/>
          <w:szCs w:val="32"/>
          <w:highlight w:val="none"/>
        </w:rPr>
        <w:t>每组推荐不超过本</w:t>
      </w:r>
      <w:r>
        <w:rPr>
          <w:rFonts w:hint="eastAsia" w:ascii="仿宋_GB2312" w:hAnsi="仿宋_GB2312" w:eastAsia="仿宋_GB2312" w:cs="仿宋_GB2312"/>
          <w:sz w:val="32"/>
          <w:szCs w:val="32"/>
          <w:highlight w:val="none"/>
          <w:lang w:eastAsia="zh-CN"/>
        </w:rPr>
        <w:t>地本校</w:t>
      </w:r>
      <w:r>
        <w:rPr>
          <w:rFonts w:hint="eastAsia" w:ascii="仿宋_GB2312" w:hAnsi="仿宋_GB2312" w:eastAsia="仿宋_GB2312" w:cs="仿宋_GB2312"/>
          <w:sz w:val="32"/>
          <w:szCs w:val="32"/>
          <w:highlight w:val="none"/>
        </w:rPr>
        <w:t>该组参赛作品</w:t>
      </w:r>
      <w:r>
        <w:rPr>
          <w:rFonts w:hint="eastAsia" w:ascii="仿宋_GB2312" w:hAnsi="仿宋_GB2312" w:eastAsia="仿宋_GB2312" w:cs="仿宋_GB2312"/>
          <w:sz w:val="32"/>
          <w:szCs w:val="32"/>
          <w:highlight w:val="none"/>
          <w:lang w:val="en-US" w:eastAsia="zh-CN"/>
        </w:rPr>
        <w:t>数</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kern w:val="2"/>
          <w:sz w:val="32"/>
          <w:szCs w:val="32"/>
          <w:highlight w:val="none"/>
          <w:lang w:val="en-US" w:eastAsia="zh-CN" w:bidi="ar-SA"/>
        </w:rPr>
        <w:t>7月20日前将《第八届中华经典诵写讲大赛作品汇总表》电子版</w:t>
      </w:r>
      <w:r>
        <w:rPr>
          <w:rFonts w:hint="eastAsia" w:ascii="仿宋_GB2312" w:hAnsi="仿宋_GB2312" w:eastAsia="仿宋_GB2312" w:cs="仿宋_GB2312"/>
          <w:sz w:val="32"/>
          <w:szCs w:val="32"/>
          <w:highlight w:val="none"/>
        </w:rPr>
        <w:t>及加盖公章扫描版（PDF格式）</w:t>
      </w:r>
      <w:r>
        <w:rPr>
          <w:rFonts w:hint="eastAsia" w:ascii="仿宋_GB2312" w:hAnsi="仿宋_GB2312" w:eastAsia="仿宋_GB2312" w:cs="仿宋_GB2312"/>
          <w:kern w:val="2"/>
          <w:sz w:val="32"/>
          <w:szCs w:val="32"/>
          <w:highlight w:val="none"/>
          <w:lang w:val="en-US" w:eastAsia="zh-CN" w:bidi="ar-SA"/>
        </w:rPr>
        <w:t>发送至电子邮箱，并组织参赛选手登录省赛平台填写基本信息、上传作品，时间截至7月26日24:00。不接收个人报送作品。</w:t>
      </w:r>
    </w:p>
    <w:p w14:paraId="0D49AB6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省级</w:t>
      </w:r>
      <w:r>
        <w:rPr>
          <w:rFonts w:hint="eastAsia" w:ascii="楷体_GB2312" w:hAnsi="楷体_GB2312" w:eastAsia="楷体_GB2312" w:cs="楷体_GB2312"/>
          <w:sz w:val="32"/>
          <w:szCs w:val="32"/>
          <w:highlight w:val="none"/>
          <w:lang w:eastAsia="zh-CN"/>
        </w:rPr>
        <w:t>初赛</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日前</w:t>
      </w:r>
    </w:p>
    <w:p w14:paraId="5C80C1ED">
      <w:pPr>
        <w:keepNext w:val="0"/>
        <w:keepLines w:val="0"/>
        <w:pageBreakBefore w:val="0"/>
        <w:widowControl w:val="0"/>
        <w:suppressLineNumbers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赛区分赛项执委会组织专家对参赛作品进行评审，按照成绩排序，提出省赛拟获奖名单。</w:t>
      </w:r>
    </w:p>
    <w:p w14:paraId="1857F394">
      <w:pPr>
        <w:keepNext w:val="0"/>
        <w:keepLines w:val="0"/>
        <w:pageBreakBefore w:val="0"/>
        <w:widowControl w:val="0"/>
        <w:numPr>
          <w:ilvl w:val="0"/>
          <w:numId w:val="1"/>
        </w:numPr>
        <w:suppressLineNumbers w:val="0"/>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省级复赛：</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日前</w:t>
      </w:r>
    </w:p>
    <w:p w14:paraId="79D1F624">
      <w:pPr>
        <w:keepNext w:val="0"/>
        <w:keepLines w:val="0"/>
        <w:pageBreakBefore w:val="0"/>
        <w:widowControl w:val="0"/>
        <w:numPr>
          <w:ilvl w:val="0"/>
          <w:numId w:val="0"/>
        </w:numPr>
        <w:suppressLineNumbers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赛区分</w:t>
      </w:r>
      <w:r>
        <w:rPr>
          <w:rFonts w:hint="eastAsia" w:ascii="仿宋_GB2312" w:hAnsi="仿宋_GB2312" w:eastAsia="仿宋_GB2312" w:cs="仿宋_GB2312"/>
          <w:kern w:val="2"/>
          <w:sz w:val="32"/>
          <w:szCs w:val="32"/>
          <w:highlight w:val="none"/>
          <w:lang w:val="en-US" w:eastAsia="zh-CN" w:bidi="ar-SA"/>
        </w:rPr>
        <w:t>赛项执委会对拟获奖名单进行复审，确定获奖等次，选拔推荐入围全国决赛的作品。</w:t>
      </w:r>
    </w:p>
    <w:p w14:paraId="16F3B062">
      <w:pPr>
        <w:keepNext w:val="0"/>
        <w:keepLines w:val="0"/>
        <w:pageBreakBefore w:val="0"/>
        <w:widowControl w:val="0"/>
        <w:suppressLineNumbers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推荐入围全国决赛的参赛</w:t>
      </w:r>
      <w:r>
        <w:rPr>
          <w:rFonts w:hint="eastAsia" w:ascii="仿宋_GB2312" w:hAnsi="仿宋_GB2312" w:eastAsia="仿宋_GB2312" w:cs="仿宋_GB2312"/>
          <w:kern w:val="2"/>
          <w:sz w:val="32"/>
          <w:szCs w:val="32"/>
          <w:highlight w:val="none"/>
          <w:lang w:val="en-US" w:eastAsia="zh-CN" w:bidi="ar-SA"/>
        </w:rPr>
        <w:t>者使用赛区比赛时登记的手机号码登录大赛官网填写基本信息、上传作品，赛项管理员使用官网账号对推荐作品进行确认，时间截至8月31日24:00。</w:t>
      </w:r>
    </w:p>
    <w:p w14:paraId="2978C4E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（四）全国决赛</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2026年9月30日前</w:t>
      </w:r>
    </w:p>
    <w:p w14:paraId="02665DD1">
      <w:pPr>
        <w:pStyle w:val="2"/>
        <w:keepNext w:val="0"/>
        <w:keepLines w:val="0"/>
        <w:pageBreakBefore w:val="0"/>
        <w:widowControl w:val="0"/>
        <w:kinsoku/>
        <w:wordWrap/>
        <w:overflowPunct/>
        <w:topLinePunct w:val="0"/>
        <w:autoSpaceDE/>
        <w:autoSpaceDN/>
        <w:bidi w:val="0"/>
        <w:adjustRightInd w:val="0"/>
        <w:snapToGrid w:val="0"/>
        <w:spacing w:line="576" w:lineRule="exact"/>
        <w:ind w:firstLine="672" w:firstLineChars="200"/>
        <w:jc w:val="both"/>
        <w:textAlignment w:val="auto"/>
        <w:rPr>
          <w:rFonts w:hint="eastAsia" w:ascii="仿宋_GB2312" w:hAnsi="仿宋_GB2312" w:eastAsia="仿宋_GB2312" w:cs="仿宋_GB2312"/>
          <w:spacing w:val="5"/>
          <w:sz w:val="32"/>
          <w:szCs w:val="32"/>
          <w:highlight w:val="none"/>
        </w:rPr>
      </w:pPr>
      <w:r>
        <w:rPr>
          <w:rFonts w:hint="eastAsia" w:ascii="仿宋_GB2312" w:hAnsi="仿宋_GB2312" w:eastAsia="仿宋_GB2312" w:cs="仿宋_GB2312"/>
          <w:spacing w:val="8"/>
          <w:sz w:val="32"/>
          <w:szCs w:val="32"/>
          <w:highlight w:val="none"/>
        </w:rPr>
        <w:t>决赛分为半决赛和总决赛。半决赛由</w:t>
      </w:r>
      <w:r>
        <w:rPr>
          <w:rFonts w:hint="eastAsia" w:ascii="仿宋_GB2312" w:hAnsi="仿宋_GB2312" w:eastAsia="仿宋_GB2312" w:cs="仿宋_GB2312"/>
          <w:spacing w:val="8"/>
          <w:sz w:val="32"/>
          <w:szCs w:val="32"/>
          <w:highlight w:val="none"/>
          <w:lang w:eastAsia="zh-CN"/>
        </w:rPr>
        <w:t>大赛</w:t>
      </w:r>
      <w:r>
        <w:rPr>
          <w:rFonts w:hint="eastAsia" w:ascii="仿宋_GB2312" w:hAnsi="仿宋_GB2312" w:eastAsia="仿宋_GB2312" w:cs="仿宋_GB2312"/>
          <w:sz w:val="32"/>
          <w:szCs w:val="32"/>
          <w:highlight w:val="none"/>
        </w:rPr>
        <w:t>分赛项执委会组织专家对</w:t>
      </w:r>
      <w:r>
        <w:rPr>
          <w:rFonts w:hint="eastAsia" w:ascii="仿宋_GB2312" w:hAnsi="仿宋_GB2312" w:eastAsia="仿宋_GB2312" w:cs="仿宋_GB2312"/>
          <w:spacing w:val="8"/>
          <w:sz w:val="32"/>
          <w:szCs w:val="32"/>
          <w:highlight w:val="none"/>
        </w:rPr>
        <w:t>入围作品进行评审，根据</w:t>
      </w:r>
      <w:r>
        <w:rPr>
          <w:rFonts w:hint="eastAsia" w:ascii="仿宋_GB2312" w:hAnsi="仿宋_GB2312" w:eastAsia="仿宋_GB2312" w:cs="仿宋_GB2312"/>
          <w:sz w:val="32"/>
          <w:szCs w:val="32"/>
          <w:highlight w:val="none"/>
        </w:rPr>
        <w:t>成绩排序，确定三等奖和优秀奖。</w:t>
      </w:r>
      <w:r>
        <w:rPr>
          <w:rFonts w:hint="eastAsia" w:ascii="仿宋_GB2312" w:hAnsi="仿宋_GB2312" w:eastAsia="仿宋_GB2312" w:cs="仿宋_GB2312"/>
          <w:spacing w:val="5"/>
          <w:sz w:val="32"/>
          <w:szCs w:val="32"/>
          <w:highlight w:val="none"/>
        </w:rPr>
        <w:t>总决赛通过现场比赛方式确定一等奖和二等奖。</w:t>
      </w:r>
    </w:p>
    <w:p w14:paraId="4EFF47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eastAsia="zh-CN"/>
        </w:rPr>
        <w:t>（五）</w:t>
      </w:r>
      <w:r>
        <w:rPr>
          <w:rFonts w:hint="eastAsia" w:ascii="楷体_GB2312" w:hAnsi="楷体_GB2312" w:eastAsia="楷体_GB2312" w:cs="楷体_GB2312"/>
          <w:sz w:val="32"/>
          <w:szCs w:val="32"/>
          <w:highlight w:val="none"/>
        </w:rPr>
        <w:t>交流展示：</w:t>
      </w: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val="en-US" w:eastAsia="zh-CN"/>
        </w:rPr>
        <w:t>12月</w:t>
      </w:r>
    </w:p>
    <w:p w14:paraId="2AF64BCC">
      <w:pPr>
        <w:pStyle w:val="2"/>
        <w:keepNext w:val="0"/>
        <w:keepLines w:val="0"/>
        <w:pageBreakBefore w:val="0"/>
        <w:widowControl w:val="0"/>
        <w:kinsoku/>
        <w:wordWrap/>
        <w:overflowPunct/>
        <w:topLinePunct w:val="0"/>
        <w:autoSpaceDE/>
        <w:autoSpaceDN/>
        <w:bidi w:val="0"/>
        <w:adjustRightInd w:val="0"/>
        <w:snapToGrid w:val="0"/>
        <w:spacing w:line="576" w:lineRule="exact"/>
        <w:ind w:firstLine="672"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8"/>
          <w:sz w:val="32"/>
          <w:szCs w:val="32"/>
          <w:highlight w:val="none"/>
        </w:rPr>
        <w:t>优秀作品将在相关媒体平台进行展示，部分获奖选手将</w:t>
      </w:r>
      <w:r>
        <w:rPr>
          <w:rFonts w:hint="eastAsia" w:ascii="仿宋_GB2312" w:hAnsi="仿宋_GB2312" w:eastAsia="仿宋_GB2312" w:cs="仿宋_GB2312"/>
          <w:spacing w:val="2"/>
          <w:sz w:val="32"/>
          <w:szCs w:val="32"/>
          <w:highlight w:val="none"/>
        </w:rPr>
        <w:t>参与线上线下展示。</w:t>
      </w:r>
    </w:p>
    <w:p w14:paraId="35980ED6">
      <w:pPr>
        <w:pStyle w:val="2"/>
        <w:keepNext w:val="0"/>
        <w:keepLines w:val="0"/>
        <w:pageBreakBefore w:val="0"/>
        <w:widowControl w:val="0"/>
        <w:kinsoku/>
        <w:wordWrap/>
        <w:overflowPunct/>
        <w:topLinePunct w:val="0"/>
        <w:autoSpaceDE/>
        <w:autoSpaceDN/>
        <w:bidi w:val="0"/>
        <w:adjustRightInd w:val="0"/>
        <w:snapToGrid w:val="0"/>
        <w:spacing w:line="576" w:lineRule="exact"/>
        <w:ind w:firstLine="656"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pacing w:val="4"/>
          <w:sz w:val="32"/>
          <w:szCs w:val="32"/>
          <w:highlight w:val="none"/>
        </w:rPr>
        <w:t>四、</w:t>
      </w:r>
      <w:r>
        <w:rPr>
          <w:rFonts w:hint="eastAsia" w:ascii="黑体" w:hAnsi="黑体" w:eastAsia="黑体" w:cs="黑体"/>
          <w:spacing w:val="4"/>
          <w:sz w:val="32"/>
          <w:szCs w:val="32"/>
          <w:highlight w:val="none"/>
          <w:lang w:eastAsia="zh-CN"/>
        </w:rPr>
        <w:t>联系方式</w:t>
      </w:r>
    </w:p>
    <w:p w14:paraId="56362A1E">
      <w:pPr>
        <w:pStyle w:val="2"/>
        <w:keepNext w:val="0"/>
        <w:keepLines w:val="0"/>
        <w:pageBreakBefore w:val="0"/>
        <w:widowControl w:val="0"/>
        <w:kinsoku/>
        <w:wordWrap/>
        <w:overflowPunct/>
        <w:topLinePunct w:val="0"/>
        <w:autoSpaceDE/>
        <w:autoSpaceDN/>
        <w:bidi w:val="0"/>
        <w:adjustRightInd w:val="0"/>
        <w:snapToGrid w:val="0"/>
        <w:spacing w:line="576" w:lineRule="exact"/>
        <w:ind w:firstLine="672" w:firstLineChars="200"/>
        <w:jc w:val="both"/>
        <w:textAlignment w:val="auto"/>
        <w:rPr>
          <w:rFonts w:hint="eastAsia" w:ascii="仿宋_GB2312" w:hAnsi="仿宋_GB2312" w:eastAsia="仿宋_GB2312" w:cs="仿宋_GB2312"/>
          <w:kern w:val="2"/>
          <w:sz w:val="32"/>
          <w:szCs w:val="32"/>
          <w:lang w:val="en-US" w:eastAsia="zh-CN" w:bidi="ar-SA"/>
        </w:rPr>
      </w:pPr>
      <w:bookmarkStart w:id="2" w:name="_Hlk225806832"/>
      <w:r>
        <w:rPr>
          <w:rFonts w:hint="eastAsia" w:ascii="仿宋_GB2312" w:hAnsi="仿宋_GB2312" w:eastAsia="仿宋_GB2312" w:cs="仿宋_GB2312"/>
          <w:spacing w:val="8"/>
          <w:sz w:val="32"/>
          <w:szCs w:val="32"/>
          <w:highlight w:val="none"/>
        </w:rPr>
        <w:t>联</w:t>
      </w:r>
      <w:r>
        <w:rPr>
          <w:rFonts w:hint="eastAsia" w:cs="仿宋_GB2312"/>
          <w:spacing w:val="8"/>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系</w:t>
      </w:r>
      <w:r>
        <w:rPr>
          <w:rFonts w:hint="eastAsia"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人：郭睦羽 </w:t>
      </w:r>
    </w:p>
    <w:p w14:paraId="13114996">
      <w:pPr>
        <w:pStyle w:val="2"/>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联系电话：0931-7971812  18409310207</w:t>
      </w:r>
    </w:p>
    <w:p w14:paraId="38F248DF">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电子邮箱：</w:t>
      </w:r>
      <w:bookmarkEnd w:id="2"/>
      <w:r>
        <w:rPr>
          <w:rFonts w:hint="eastAsia" w:ascii="仿宋_GB2312" w:hAnsi="仿宋_GB2312" w:eastAsia="仿宋_GB2312" w:cs="仿宋_GB2312"/>
          <w:kern w:val="2"/>
          <w:sz w:val="32"/>
          <w:szCs w:val="32"/>
          <w:lang w:val="en-US" w:eastAsia="zh-CN" w:bidi="ar-SA"/>
        </w:rPr>
        <w:t xml:space="preserve">3980548465@qq.com </w:t>
      </w:r>
    </w:p>
    <w:p w14:paraId="026EAE56">
      <w:pPr>
        <w:adjustRightInd w:val="0"/>
        <w:snapToGrid w:val="0"/>
        <w:spacing w:line="560" w:lineRule="exact"/>
        <w:rPr>
          <w:rFonts w:hint="eastAsia" w:ascii="仿宋_GB2312" w:hAnsi="仿宋_GB2312" w:eastAsia="仿宋_GB2312" w:cs="仿宋_GB2312"/>
          <w:kern w:val="2"/>
          <w:sz w:val="32"/>
          <w:szCs w:val="32"/>
          <w:lang w:val="en-US" w:eastAsia="zh-CN" w:bidi="ar-SA"/>
        </w:rPr>
      </w:pPr>
    </w:p>
    <w:p w14:paraId="01AA8B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DC085"/>
    <w:multiLevelType w:val="singleLevel"/>
    <w:tmpl w:val="CBADC0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A333F"/>
    <w:rsid w:val="656A3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2026-06-02T03:16:00Z</dcterms:created>
  <dc:creator>梦心魂</dc:creator>
  <cp:lastModifiedBy>梦心魂</cp:lastModifiedBy>
  <dcterms:modified xsi:type="dcterms:W3CDTF">2026-06-02T03:17:12Z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74E7E04BA2904D889956F53252047BDF_11</vt:lpwstr>
  </property>
  <property fmtid="{D5CDD505-2E9C-101B-9397-08002B2CF9AE}" pid="4" name="KSOTemplateDocerSaveRecord">
    <vt:lpwstr>eyJoZGlkIjoiN2RmZTBmZWY1ZTE1NjIwOTFmNDkxYjg5NmRjZGZmYTIiLCJ1c2VySWQiOiI2NDgwMzY3NzQifQ==</vt:lpwstr>
  </property>
</Properties>
</file>