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市基础产业投资集团有限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车网络拍卖公告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受委托，平凉泓源拍卖有限责任公司将对平凉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市基础产业投资集团有限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汽</w:t>
      </w:r>
      <w:r>
        <w:rPr>
          <w:rFonts w:hint="eastAsia" w:ascii="仿宋_GB2312" w:hAnsi="仿宋_GB2312" w:eastAsia="仿宋_GB2312" w:cs="仿宋_GB2312"/>
          <w:sz w:val="32"/>
          <w:szCs w:val="32"/>
        </w:rPr>
        <w:t>车进行网络公开拍卖。现将有关事项公告如下：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　　一、拍卖标的</w:t>
      </w:r>
    </w:p>
    <w:tbl>
      <w:tblPr>
        <w:tblStyle w:val="2"/>
        <w:tblpPr w:leftFromText="180" w:rightFromText="180" w:vertAnchor="text" w:horzAnchor="page" w:tblpX="1672" w:tblpY="321"/>
        <w:tblOverlap w:val="never"/>
        <w:tblW w:w="867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73"/>
        <w:gridCol w:w="1440"/>
        <w:gridCol w:w="525"/>
        <w:gridCol w:w="480"/>
        <w:gridCol w:w="870"/>
        <w:gridCol w:w="1005"/>
        <w:gridCol w:w="915"/>
        <w:gridCol w:w="840"/>
        <w:gridCol w:w="11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车辆名称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规格及型号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购置日期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启用日期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已行驶里程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（公里）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价格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保证金（元）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比亚迪BYD7005BEV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2017.6.27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2017.6.27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65542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50000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比亚迪BYD7005BEV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2017.5.23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2017.5.23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95377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50000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大众汽车SVW71810HJ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2013.12.25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2013.12.25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209321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80000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北京现代BH6440LAY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2013.2.26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2013.2.26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154090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50000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10000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二、拍卖时间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　　三、拍卖方式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通过中国拍卖行业协会网络拍卖平台进行网络拍卖。（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https://paimai.caa123.org.cn）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四、标的展示时间及地点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日自行前往平凉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市基础产业投资集团有限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公司勘察。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　　五、竞买条件及须知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1.具有完全民事行为能力的和良好商业信用、资金支付能力的自然人、法人及其他组织，除法律、法规另有规定外，均可申请参加竞买；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2.竞买手续：申请竞买人须在中拍平台完成实名认证注册及网络报名，并向以下账户交纳竞买保证金（保证金交纳截止时间：202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21日16</w:t>
      </w:r>
      <w:r>
        <w:rPr>
          <w:rFonts w:hint="eastAsia" w:ascii="仿宋_GB2312" w:hAnsi="仿宋_GB2312" w:eastAsia="仿宋_GB2312" w:cs="仿宋_GB2312"/>
          <w:sz w:val="32"/>
          <w:szCs w:val="32"/>
        </w:rPr>
        <w:t>时00分）取得竞买资格、参加网络竞价。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3.意向竞买人委托他人报名或竞买的须提供《授权委托书》及其他有效证件。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具体事项详见《平凉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市基础产业投资集团有限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汽车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网络拍卖文件》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4.竞买保证金缴纳账号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开户单位：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平凉泓源拍卖有限责任公司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开户行：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甘肃银行股份有限公司平凉中山街支行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银行账号：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662110036225800010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（注：竞买不成功的，原路径全额无息退还）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六、特别提醒</w:t>
      </w:r>
      <w:r>
        <w:rPr>
          <w:rFonts w:hint="eastAsia" w:ascii="仿宋_GB2312" w:hAnsi="仿宋_GB2312" w:eastAsia="仿宋_GB2312" w:cs="仿宋_GB2312"/>
          <w:sz w:val="32"/>
          <w:szCs w:val="32"/>
        </w:rPr>
        <w:t>：标的物以实物现状为准，出让人不承担标的的瑕疵保证。有意者请亲自实地勘察，未勘察的竞买人视为对本标的实物现状的确认，责任自负。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七、联系方式  </w:t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联系电话：司经理 15097053777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地址：平凉市崆峒区西二路2号工业园区管委会219室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平凉泓源拍卖有限责任公司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4707D"/>
    <w:rsid w:val="001C20CD"/>
    <w:rsid w:val="63A4707D"/>
    <w:rsid w:val="72794039"/>
    <w:rsid w:val="7859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2022-03-09T07:31:00Z</dcterms:created>
  <dc:creator>Z</dc:creator>
  <cp:lastModifiedBy>Z</cp:lastModifiedBy>
  <cp:lastPrinted>2022-03-11T03:25:07Z</cp:lastPrinted>
  <dcterms:modified xsi:type="dcterms:W3CDTF">2022-03-11T03:46:16Z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