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color w:val="auto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6"/>
          <w:lang w:val="en-US" w:eastAsia="zh-CN"/>
        </w:rPr>
        <w:t>环评告知承诺制审批改革试点范围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70"/>
        <w:gridCol w:w="780"/>
        <w:gridCol w:w="361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  <w:t>《名录》项目类别号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vertAlign w:val="baseline"/>
                <w:lang w:val="en-US" w:eastAsia="zh-CN"/>
              </w:rPr>
              <w:t>文件类别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一、畜牧业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畜禽养殖场、养殖小区（对其中生猪养殖项目，按照《关于进一步做好当前生猪规模养殖环评管理相关工作的通知》（环办环评函〔2019〕872号）执行）。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二、农副食品加工业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粮食及饲料加工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植物油加工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制糖、糖制品加工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肉禽类加工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水产品加工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淀粉、淀粉糖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豆制品制造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三、食品制造业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方便食品制造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乳制品制造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调味品、发酵制品制造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盐加工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饲料添加剂、食品添加剂制造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营养食品、保健食品、冷冻饮品、食用冰制造及其他食品制造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十二、印刷和记录媒介复制业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印刷厂：磁材料制品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十三、文教、工美、体育和娱乐用品制造业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文教、体育、娱乐用品制造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工艺品制造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二十三、通用设备制造业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通用设备制造及维修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二十四、专用设备制造业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专用设备制造及维修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二十五、汽车制造业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汽车制造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二十六、铁路、船舶、航空航天和其他运输设备制造业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铁路运输设备制造及维修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船舶和相关装置制造及维修（拆船、修船厂除外）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航空航天器制造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摩托车制造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自行车制造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交通器材及其他交通运输设备制造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二十七、电气机械和器材制造业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电气机械和器材制造（铅蓄电池制造除外）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二十八、计算机、通信和其他电子设备制造业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计算机制造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智能消费设备制造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电子器件制造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电子元件及电子专用材料制造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通信设备制造、广播电视设备制造、雷达及配套设备制造、非专业视听设备制造及其他电子设备制造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二十九、仪器仪表制造业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仪器仪表制造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报告书、报告表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三十二、燃气生产和供应业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城市天然气供应工程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三十三、水的生产和供应业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自来水生产和供应工程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三十六、房地产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房地产开发、宾馆、酒店、办公用房、标准厂房等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四十、社会事业与服务业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高尔夫球场、滑雪场、狩猎场、赛车场、跑马场、射击场、水上运动中心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公园（含动物园、植物园、主题公园）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旅游开发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影视基地建设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四十九、交通运输业、管道运输业和仓储业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等级公路（不含维护、不含改扩建四级公路）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城市道路（不含维护、不含支路）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城市桥梁、隧道（不含人行天桥、人行地道）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  <w:t>长途客运站</w:t>
            </w: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" w:hAnsi="方正仿宋" w:eastAsia="方正仿宋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insoku/>
        <w:autoSpaceDE/>
        <w:autoSpaceDN w:val="0"/>
        <w:spacing w:line="540" w:lineRule="atLeast"/>
        <w:ind w:firstLine="0"/>
        <w:rPr>
          <w:rFonts w:hint="eastAsia" w:ascii="方正仿宋" w:hAnsi="方正仿宋" w:eastAsia="方正仿宋"/>
          <w:b w:val="0"/>
          <w:i w:val="0"/>
          <w:snapToGrid/>
          <w:color w:val="auto"/>
          <w:sz w:val="24"/>
          <w:lang w:eastAsia="zh-CN"/>
        </w:rPr>
      </w:pPr>
      <w:r>
        <w:rPr>
          <w:rFonts w:hint="eastAsia" w:ascii="方正仿宋" w:hAnsi="方正仿宋" w:eastAsia="方正仿宋"/>
          <w:color w:val="auto"/>
          <w:sz w:val="24"/>
          <w:lang w:val="en-US" w:eastAsia="zh-CN"/>
        </w:rPr>
        <w:t>备注：</w:t>
      </w:r>
      <w:r>
        <w:rPr>
          <w:rFonts w:hint="eastAsia" w:ascii="方正仿宋" w:hAnsi="方正仿宋" w:eastAsia="方正仿宋"/>
          <w:b w:val="0"/>
          <w:i w:val="0"/>
          <w:snapToGrid/>
          <w:color w:val="auto"/>
          <w:sz w:val="24"/>
          <w:lang w:eastAsia="zh-CN"/>
        </w:rPr>
        <w:t>试点实行时间原则上截至2020年9月底，根据形势需要可适当延长。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05D8"/>
    <w:rsid w:val="6DC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2020-04-16T10:06:00Z</dcterms:created>
  <dc:creator>Raeyang</dc:creator>
  <cp:lastModifiedBy>Raeyang</cp:lastModifiedBy>
  <dcterms:modified xsi:type="dcterms:W3CDTF">2020-04-16T10:07:03Z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